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420" w:firstLine="0" w:firstLineChars="0"/>
        <w:rPr>
          <w:rFonts w:asciiTheme="minorEastAsia" w:hAnsiTheme="minorEastAsia"/>
          <w:sz w:val="28"/>
          <w:szCs w:val="28"/>
        </w:rPr>
      </w:pPr>
    </w:p>
    <w:p>
      <w:pPr>
        <w:pStyle w:val="4"/>
        <w:ind w:left="420" w:firstLine="0" w:firstLineChars="0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28"/>
        </w:rPr>
        <w:t>《供应商情况表》</w:t>
      </w:r>
    </w:p>
    <w:tbl>
      <w:tblPr>
        <w:tblStyle w:val="3"/>
        <w:tblW w:w="86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1080"/>
        <w:gridCol w:w="1471"/>
        <w:gridCol w:w="1420"/>
        <w:gridCol w:w="142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盖章：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1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报价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相关资质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后期服务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65D8F"/>
    <w:rsid w:val="2D465D8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2018-10-25T08:02:00Z</dcterms:created>
  <dc:creator>ls</dc:creator>
  <cp:lastModifiedBy>ls</cp:lastModifiedBy>
  <dcterms:modified xsi:type="dcterms:W3CDTF">2018-10-25T08:02:42Z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